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B1" w:rsidRDefault="00DB0FB1" w:rsidP="00DB0FB1">
      <w:pPr>
        <w:jc w:val="both"/>
        <w:rPr>
          <w:b/>
        </w:rPr>
      </w:pPr>
    </w:p>
    <w:p w:rsidR="00DB0FB1" w:rsidRPr="002D43EA" w:rsidRDefault="00DB0FB1" w:rsidP="00DB0FB1">
      <w:pPr>
        <w:jc w:val="both"/>
        <w:rPr>
          <w:b/>
        </w:rPr>
      </w:pPr>
      <w:r w:rsidRPr="002D43EA">
        <w:rPr>
          <w:b/>
        </w:rPr>
        <w:t>Informacje o programie</w:t>
      </w:r>
    </w:p>
    <w:p w:rsidR="00DB0FB1" w:rsidRDefault="00DB0FB1" w:rsidP="00DB0FB1">
      <w:pPr>
        <w:jc w:val="both"/>
      </w:pPr>
      <w:r>
        <w:t xml:space="preserve">Instrument Finansowy Mikropożyczka na rozpoczęcie działalności gospodarczej finansowany jest                        z wkładu finansowanego ze środków Funduszu Funduszy </w:t>
      </w:r>
      <w:r w:rsidRPr="005D1C8C">
        <w:t>w ramach Działania 8.3 Samozatrudnienie, przedsiębiorczość oraz tworzenie nowych miejsc pracy Regionalnego Programu Operacyjnego Województwa Dolnośląskiego na lata 2014-2020.</w:t>
      </w:r>
    </w:p>
    <w:p w:rsidR="00DB0FB1" w:rsidRPr="002D43EA" w:rsidRDefault="00DB0FB1" w:rsidP="00DB0FB1">
      <w:pPr>
        <w:jc w:val="both"/>
        <w:rPr>
          <w:b/>
        </w:rPr>
      </w:pPr>
      <w:r w:rsidRPr="002D43EA">
        <w:rPr>
          <w:b/>
        </w:rPr>
        <w:t>Informacje o FRW</w:t>
      </w:r>
    </w:p>
    <w:p w:rsidR="00DB0FB1" w:rsidRDefault="00DB0FB1" w:rsidP="00DB0FB1">
      <w:pPr>
        <w:jc w:val="both"/>
      </w:pPr>
      <w:r>
        <w:t>Fundusz Regionu Wałbrzyskiego jest jednym z pośredników finansowych, realizujących projekty                 w ram</w:t>
      </w:r>
      <w:r w:rsidR="005D4F56">
        <w:t xml:space="preserve">ach Inicjatywy </w:t>
      </w:r>
      <w:proofErr w:type="spellStart"/>
      <w:r w:rsidR="005D4F56">
        <w:t>Jeremie</w:t>
      </w:r>
      <w:proofErr w:type="spellEnd"/>
      <w:r w:rsidR="005D4F56">
        <w:t>, Jeremie</w:t>
      </w:r>
      <w:r>
        <w:t xml:space="preserve">2 oraz w oparciu o Regionalne Programy Operacyjne na terenie województwa wielkopolskiego, dolnośląskiego, lubuskiego i opolskiego. Skuteczny wymiar pomocy i finansowania firm to m.in. udzielenie blisko 3,5 tys. pożyczek na łączną kwotę ponad 271 mln zł. </w:t>
      </w:r>
    </w:p>
    <w:p w:rsidR="00DB0FB1" w:rsidRPr="002D43EA" w:rsidRDefault="00DB0FB1" w:rsidP="00DB0FB1">
      <w:pPr>
        <w:tabs>
          <w:tab w:val="left" w:pos="2610"/>
        </w:tabs>
        <w:jc w:val="both"/>
        <w:rPr>
          <w:b/>
        </w:rPr>
      </w:pPr>
      <w:r>
        <w:rPr>
          <w:b/>
        </w:rPr>
        <w:t>O Instrumencie Finansowym Mikropożyczka</w:t>
      </w:r>
    </w:p>
    <w:p w:rsidR="00DB0FB1" w:rsidRDefault="00DB0FB1" w:rsidP="00DB0FB1">
      <w:pPr>
        <w:jc w:val="both"/>
      </w:pPr>
      <w:r>
        <w:t xml:space="preserve">Pożyczki udzielane są na warunkach korzystniejszych niż rynkowe  </w:t>
      </w:r>
      <w:r w:rsidRPr="00DE49B3">
        <w:t xml:space="preserve">zgodnie z zasadami udzielania pomocy de </w:t>
      </w:r>
      <w:proofErr w:type="spellStart"/>
      <w:r w:rsidRPr="00DE49B3">
        <w:t>minimis</w:t>
      </w:r>
      <w:proofErr w:type="spellEnd"/>
      <w:r w:rsidRPr="00DE49B3">
        <w:t xml:space="preserve">, o których mowa w Rozporządzeniu Komisji  (UE) nr 1407/2013 z dnia 18 grudnia 2013 r. w sprawie stosowania art. 107 i 108 Traktatu o funkcjonowaniu Unii Europejskiej do pomocy de </w:t>
      </w:r>
      <w:proofErr w:type="spellStart"/>
      <w:r w:rsidRPr="00DE49B3">
        <w:t>minimis</w:t>
      </w:r>
      <w:proofErr w:type="spellEnd"/>
      <w:r w:rsidRPr="00DE49B3">
        <w:t xml:space="preserve"> oraz Rozporządzenia Ministra Infrastruktury i Rozwoju z dnia 2 lipca 2015 r. w sprawie udzielania pomocy de </w:t>
      </w:r>
      <w:proofErr w:type="spellStart"/>
      <w:r w:rsidRPr="00DE49B3">
        <w:t>minimis</w:t>
      </w:r>
      <w:proofErr w:type="spellEnd"/>
      <w:r w:rsidRPr="00DE49B3">
        <w:t xml:space="preserve"> oraz pomocy publicznej w ramach programów operacyjnych finansowanych z Europejskiego Funduszu Społecznego na lata 2014–2020. (Dz.U. 2015 poz. 1073).</w:t>
      </w:r>
      <w:r>
        <w:t xml:space="preserve"> Program skierowany jest do osób po 30 roku życia, zwłaszcza tych znajdujących się trudnej sytuacji  tj. osób 50 +, kobiet, osób z niepełnosprawnościami, osób długotrwale bezrobotnych oraz o niskich kwalifikacjach, rozpoczynających własną działalność gospodarczą, realizujących przedsięwzięcia                na terenie województwa dolnośląskiego.</w:t>
      </w:r>
    </w:p>
    <w:p w:rsidR="00DB0FB1" w:rsidRDefault="00DB0FB1" w:rsidP="00DB0FB1">
      <w:pPr>
        <w:jc w:val="both"/>
        <w:rPr>
          <w:b/>
        </w:rPr>
      </w:pPr>
      <w:r w:rsidRPr="00FF68CB">
        <w:rPr>
          <w:b/>
        </w:rPr>
        <w:t>Kto może otrzymać wsparcie?</w:t>
      </w:r>
    </w:p>
    <w:p w:rsidR="00DB0FB1" w:rsidRPr="00FF68CB" w:rsidRDefault="00DB0FB1" w:rsidP="00DB0FB1">
      <w:pPr>
        <w:jc w:val="both"/>
      </w:pPr>
      <w:r>
        <w:t xml:space="preserve">Odbiorcami wsparcia w formie </w:t>
      </w:r>
      <w:r w:rsidRPr="00FF68CB">
        <w:t>Mikropożyczki na rozpoczęcie działalności gospodarczej mogą zostać osoby od 30 roku życia pozostające bez pracy, zamierzające rozpocząć prowadzenie działalności gospodarczej, zwłaszcza te, które znajdują się w szczególnie trudnej sytuacji na rynku pracy, tj.:</w:t>
      </w:r>
    </w:p>
    <w:p w:rsidR="00DB0FB1" w:rsidRPr="00FF68CB" w:rsidRDefault="00DB0FB1" w:rsidP="00DB0FB1">
      <w:pPr>
        <w:numPr>
          <w:ilvl w:val="0"/>
          <w:numId w:val="1"/>
        </w:numPr>
        <w:spacing w:after="0" w:line="259" w:lineRule="auto"/>
        <w:jc w:val="both"/>
      </w:pPr>
      <w:r w:rsidRPr="00FF68CB">
        <w:t>osoby w wieku 50 lat i więcej,</w:t>
      </w:r>
    </w:p>
    <w:p w:rsidR="00DB0FB1" w:rsidRPr="00FF68CB" w:rsidRDefault="00DB0FB1" w:rsidP="00DB0FB1">
      <w:pPr>
        <w:numPr>
          <w:ilvl w:val="0"/>
          <w:numId w:val="1"/>
        </w:numPr>
        <w:spacing w:after="0" w:line="259" w:lineRule="auto"/>
        <w:jc w:val="both"/>
      </w:pPr>
      <w:r w:rsidRPr="00FF68CB">
        <w:t>kobiety,</w:t>
      </w:r>
    </w:p>
    <w:p w:rsidR="00DB0FB1" w:rsidRPr="00FF68CB" w:rsidRDefault="00DB0FB1" w:rsidP="00DB0FB1">
      <w:pPr>
        <w:numPr>
          <w:ilvl w:val="0"/>
          <w:numId w:val="1"/>
        </w:numPr>
        <w:spacing w:after="0" w:line="259" w:lineRule="auto"/>
        <w:jc w:val="both"/>
      </w:pPr>
      <w:r w:rsidRPr="00FF68CB">
        <w:t>osoby z niepełnosprawnościami,</w:t>
      </w:r>
    </w:p>
    <w:p w:rsidR="00DB0FB1" w:rsidRPr="00FF68CB" w:rsidRDefault="00DB0FB1" w:rsidP="00DB0FB1">
      <w:pPr>
        <w:numPr>
          <w:ilvl w:val="0"/>
          <w:numId w:val="1"/>
        </w:numPr>
        <w:spacing w:after="0" w:line="259" w:lineRule="auto"/>
        <w:jc w:val="both"/>
      </w:pPr>
      <w:r w:rsidRPr="00FF68CB">
        <w:t>osoby długotrwale bezrobotne,</w:t>
      </w:r>
    </w:p>
    <w:p w:rsidR="00DB0FB1" w:rsidRDefault="00DB0FB1" w:rsidP="00DB0FB1">
      <w:pPr>
        <w:numPr>
          <w:ilvl w:val="0"/>
          <w:numId w:val="1"/>
        </w:numPr>
        <w:spacing w:after="0" w:line="259" w:lineRule="auto"/>
        <w:jc w:val="both"/>
      </w:pPr>
      <w:r w:rsidRPr="00FF68CB">
        <w:t>osoby o niskich kwalifikacjach.</w:t>
      </w:r>
    </w:p>
    <w:p w:rsidR="00DB0FB1" w:rsidRPr="0085749F" w:rsidRDefault="00DB0FB1" w:rsidP="00DB0FB1">
      <w:pPr>
        <w:spacing w:after="0"/>
        <w:ind w:left="720"/>
        <w:jc w:val="both"/>
      </w:pPr>
    </w:p>
    <w:p w:rsidR="00DB0FB1" w:rsidRDefault="00DB0FB1" w:rsidP="00DB0FB1">
      <w:pPr>
        <w:jc w:val="both"/>
      </w:pPr>
      <w:r w:rsidRPr="0031049F">
        <w:t xml:space="preserve">Przez osoby z niepełnosprawnościami należy rozumieć osoby, które mają długotrwale naruszoną sprawność fizyczną, umysłową, intelektualną lub w zakresie zmysłów, co może, w oddziaływaniu </w:t>
      </w:r>
      <w:r>
        <w:t xml:space="preserve">                 </w:t>
      </w:r>
      <w:r w:rsidRPr="0031049F">
        <w:t xml:space="preserve">z różnymi barierami, utrudniać im pełny i skuteczny udział w życiu społecznym, na zasadzie równości z innymi osobami. </w:t>
      </w:r>
    </w:p>
    <w:p w:rsidR="00DB0FB1" w:rsidRDefault="00DB0FB1" w:rsidP="00DB0FB1">
      <w:pPr>
        <w:jc w:val="both"/>
      </w:pPr>
      <w:r>
        <w:lastRenderedPageBreak/>
        <w:t>Przez osoby długotrwale bezrobotne należy rozumieć o</w:t>
      </w:r>
      <w:r w:rsidRPr="00F85692">
        <w:t xml:space="preserve">soby bezrobotne nieprzerwanie przez okres </w:t>
      </w:r>
      <w:r>
        <w:t xml:space="preserve">ponad 12 miesięcy </w:t>
      </w:r>
      <w:r w:rsidRPr="00F85692">
        <w:t xml:space="preserve">. Wiek uczestników projektu jest określany na podstawie daty urodzenia i ustalany w dniu rozpoczęcia udziału w projekcie. </w:t>
      </w:r>
      <w:r w:rsidRPr="0085749F">
        <w:t>Status na ry</w:t>
      </w:r>
      <w:r>
        <w:t xml:space="preserve">nku pracy odbiorcy </w:t>
      </w:r>
      <w:r w:rsidRPr="0085749F">
        <w:t>będącego osobą bezrobotną będzie weryfikowany na podstawie zaświadczenia z właściwego urzędu pracy. W przypadku osób należących do grup biernych zawodowo oraz poszukujących pracy status na rynku pracy będzie weryfikowany na bazie złożonego oświadczenia.</w:t>
      </w:r>
    </w:p>
    <w:p w:rsidR="00DB0FB1" w:rsidRDefault="00DB0FB1" w:rsidP="00DB0FB1">
      <w:pPr>
        <w:jc w:val="both"/>
      </w:pPr>
      <w:r w:rsidRPr="002616F1">
        <w:t xml:space="preserve">Przez osoby o niskich kwalifikacjach należy rozumieć osoby posiadające wykształcenie na poziomie </w:t>
      </w:r>
      <w:r>
        <w:t xml:space="preserve">                 </w:t>
      </w:r>
      <w:r w:rsidRPr="002616F1">
        <w:t>do ISCED 3 zgodnie z Międzynarodową Standardową Klasyfikacją Kształceni</w:t>
      </w:r>
      <w:r>
        <w:t xml:space="preserve">a – </w:t>
      </w:r>
      <w:r w:rsidRPr="002616F1">
        <w:t>wykształcenie ponadgimnazjalne</w:t>
      </w:r>
      <w:r>
        <w:t xml:space="preserve">. </w:t>
      </w:r>
      <w:r w:rsidRPr="002616F1">
        <w:t>Osoby p</w:t>
      </w:r>
      <w:r>
        <w:t xml:space="preserve">rzystępujące do projektu wykazują </w:t>
      </w:r>
      <w:r w:rsidRPr="002616F1">
        <w:t>najwyższy ukończony poziom ISCED. Stopień uzyskanego wykształcenia jest określany w dniu rozpoczęci</w:t>
      </w:r>
      <w:r>
        <w:t>a uczestnictwa w projekcie.</w:t>
      </w:r>
    </w:p>
    <w:p w:rsidR="00DB0FB1" w:rsidRDefault="00DB0FB1" w:rsidP="00DB0FB1">
      <w:pPr>
        <w:jc w:val="both"/>
      </w:pPr>
      <w:r w:rsidRPr="0085749F">
        <w:t>Pożyczka nie może zostać przyznana rolnikom posiadającym gospodarstwa powyżej</w:t>
      </w:r>
      <w:r w:rsidR="009F0A47">
        <w:t xml:space="preserve"> </w:t>
      </w:r>
      <w:r w:rsidRPr="0085749F">
        <w:t xml:space="preserve">2 ha przeliczeniowych. W przypadku członków rodziny rolnika wsparcie może otrzymać jedynie osoba pozostająca faktycznie bez zatrudnienia pod warunkiem, że efektem realizowanych działań będzie przejście osoby otrzymującej wsparcie z systemu ubezpieczeń społecznych rolników (KRUS) </w:t>
      </w:r>
      <w:r>
        <w:t xml:space="preserve">                       </w:t>
      </w:r>
      <w:r w:rsidRPr="0085749F">
        <w:t>do ogólnego systemu ubezpieczeń (ZUS).</w:t>
      </w:r>
    </w:p>
    <w:p w:rsidR="00DB0FB1" w:rsidRPr="002D43EA" w:rsidRDefault="00DB0FB1" w:rsidP="00DB0FB1">
      <w:pPr>
        <w:jc w:val="both"/>
        <w:rPr>
          <w:b/>
        </w:rPr>
      </w:pPr>
      <w:r w:rsidRPr="002D43EA">
        <w:rPr>
          <w:b/>
        </w:rPr>
        <w:t>Co oferujemy naszym klientom?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80.000 zł maksymalna kwota pożyczki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84 miesiące maksymalny okres spłaty pożyczki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12 miesięcy maksymalna karencja w spłacie pożyczki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0,2 % stałe oprocentowanie pożyczki w całym okresie spłaty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brak opłat i prowizji za udzielenie pożyczki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nieodpłatna pomoc w wypełnianiu wniosku pożyczkowego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minimum formalności</w:t>
      </w:r>
    </w:p>
    <w:p w:rsidR="00DB0FB1" w:rsidRDefault="00DB0FB1" w:rsidP="00DB0FB1">
      <w:pPr>
        <w:numPr>
          <w:ilvl w:val="0"/>
          <w:numId w:val="2"/>
        </w:numPr>
        <w:spacing w:after="0" w:line="259" w:lineRule="auto"/>
        <w:jc w:val="both"/>
      </w:pPr>
      <w:r>
        <w:t>krótki czas rozpatrzenia wniosku</w:t>
      </w:r>
    </w:p>
    <w:p w:rsidR="00DB0FB1" w:rsidRDefault="00DB0FB1" w:rsidP="00DB0FB1">
      <w:pPr>
        <w:jc w:val="both"/>
      </w:pPr>
    </w:p>
    <w:p w:rsidR="002D3568" w:rsidRDefault="002D3568" w:rsidP="00DB0FB1">
      <w:pPr>
        <w:jc w:val="both"/>
      </w:pPr>
      <w:r w:rsidRPr="002D3568">
        <w:t xml:space="preserve">Maksymalna dostępna kwota na Mikropożyczkę jest ilorazem maksymalnej dostępnej kwoty </w:t>
      </w:r>
      <w:r>
        <w:t xml:space="preserve">                       </w:t>
      </w:r>
      <w:r w:rsidRPr="002D3568">
        <w:t>na jednorazowe Mikropożyczki wskazanej w Umowie Operacyjnej oraz minimalnej ilości pożyczek planowanych do udzielenia przez FRW zgodnie z wymaganiami Umowy Operacyjnej. Wartość ta jest publikowana na bieżąco na stronie internetowej www.frw.pl</w:t>
      </w:r>
      <w:r>
        <w:t xml:space="preserve"> </w:t>
      </w:r>
      <w:r w:rsidRPr="002D3568">
        <w:t xml:space="preserve"> i stanowi wartość, jaka powinna zostać wskazana jako maksymalna wnioskowana wartość pożyczki we Wniosku o pożyczkę.</w:t>
      </w:r>
    </w:p>
    <w:p w:rsidR="00DB0FB1" w:rsidRDefault="00DB0FB1" w:rsidP="00DB0FB1">
      <w:pPr>
        <w:jc w:val="both"/>
      </w:pPr>
      <w:r>
        <w:t>K</w:t>
      </w:r>
      <w:r w:rsidRPr="006521FF">
        <w:t>arencja nie wydłuża o</w:t>
      </w:r>
      <w:r>
        <w:t>kresu spłaty pożyczki</w:t>
      </w:r>
    </w:p>
    <w:p w:rsidR="00DB0FB1" w:rsidRDefault="00DB0FB1" w:rsidP="00DB0FB1">
      <w:pPr>
        <w:jc w:val="both"/>
        <w:rPr>
          <w:b/>
        </w:rPr>
      </w:pPr>
      <w:r w:rsidRPr="005C1F00">
        <w:rPr>
          <w:b/>
        </w:rPr>
        <w:t>Zakres finansowania w ramach pożyczki</w:t>
      </w:r>
    </w:p>
    <w:p w:rsidR="00DB0FB1" w:rsidRDefault="00DB0FB1" w:rsidP="00DB0FB1">
      <w:pPr>
        <w:jc w:val="both"/>
      </w:pPr>
      <w:r w:rsidRPr="006521FF">
        <w:t xml:space="preserve">W ramach instrumentu finansowane będą wydatki związane z rozpoczynaniem działalności gospodarczej </w:t>
      </w:r>
      <w:r>
        <w:t xml:space="preserve">na terenie województwa dolnośląskiego. Wkład pożyczki </w:t>
      </w:r>
      <w:r w:rsidRPr="006521FF">
        <w:t>w koszcie realizowanego przedsięwzięcia rozwojowego może stanowić do 100% jego wartości.</w:t>
      </w:r>
    </w:p>
    <w:p w:rsidR="00DB0FB1" w:rsidRDefault="00DB0FB1" w:rsidP="00DB0FB1">
      <w:pPr>
        <w:jc w:val="both"/>
        <w:rPr>
          <w:b/>
        </w:rPr>
      </w:pPr>
      <w:r w:rsidRPr="00F06B98">
        <w:rPr>
          <w:b/>
        </w:rPr>
        <w:t>Ograniczenia w finansowaniu</w:t>
      </w:r>
    </w:p>
    <w:p w:rsidR="00DB0FB1" w:rsidRDefault="00DB0FB1" w:rsidP="00DB0FB1">
      <w:pPr>
        <w:spacing w:after="0"/>
        <w:jc w:val="both"/>
      </w:pPr>
      <w:r>
        <w:t xml:space="preserve">W ramach pożyczki </w:t>
      </w:r>
      <w:r w:rsidRPr="00F06B98">
        <w:t>nie jest możliwe:</w:t>
      </w:r>
    </w:p>
    <w:p w:rsidR="00DB0FB1" w:rsidRPr="00F06B98" w:rsidRDefault="00DB0FB1" w:rsidP="00DB0FB1">
      <w:pPr>
        <w:spacing w:after="0"/>
        <w:jc w:val="both"/>
      </w:pPr>
    </w:p>
    <w:p w:rsidR="00DB0FB1" w:rsidRPr="00F06B98" w:rsidRDefault="00DB0FB1" w:rsidP="00DB0FB1">
      <w:pPr>
        <w:numPr>
          <w:ilvl w:val="0"/>
          <w:numId w:val="3"/>
        </w:numPr>
        <w:spacing w:after="0" w:line="259" w:lineRule="auto"/>
        <w:jc w:val="both"/>
      </w:pPr>
      <w:r w:rsidRPr="00F06B98">
        <w:t>finansowanie wydatków pokrytych uprzednio ze środków EFSI, z innych funduszy, programów, środków i instrumentów Unii Europejskiej lub innych źródeł pomocy krajowej lub zagranicznej,</w:t>
      </w:r>
    </w:p>
    <w:p w:rsidR="00DB0FB1" w:rsidRPr="00F06B98" w:rsidRDefault="00DB0FB1" w:rsidP="00DB0FB1">
      <w:pPr>
        <w:numPr>
          <w:ilvl w:val="0"/>
          <w:numId w:val="3"/>
        </w:numPr>
        <w:spacing w:after="0" w:line="259" w:lineRule="auto"/>
        <w:jc w:val="both"/>
      </w:pPr>
      <w:r w:rsidRPr="00F06B98">
        <w:t>refinansowanie inwestycji, które w dniu podjęcia decyzji inwestycyjnej zostały fizycznie ukończone lub w pełni wdrożone,</w:t>
      </w:r>
    </w:p>
    <w:p w:rsidR="00DB0FB1" w:rsidRPr="00F06B98" w:rsidRDefault="00DB0FB1" w:rsidP="00DB0FB1">
      <w:pPr>
        <w:numPr>
          <w:ilvl w:val="0"/>
          <w:numId w:val="3"/>
        </w:numPr>
        <w:spacing w:after="0" w:line="259" w:lineRule="auto"/>
        <w:jc w:val="both"/>
      </w:pPr>
      <w:r w:rsidRPr="00F06B98">
        <w:t>spłatę zobowiązań publiczno-prawnych Ostatecznego Odbiorcy,</w:t>
      </w:r>
    </w:p>
    <w:p w:rsidR="00DB0FB1" w:rsidRDefault="00DB0FB1" w:rsidP="00DB0FB1">
      <w:pPr>
        <w:numPr>
          <w:ilvl w:val="0"/>
          <w:numId w:val="3"/>
        </w:numPr>
        <w:spacing w:after="0" w:line="259" w:lineRule="auto"/>
        <w:jc w:val="both"/>
      </w:pPr>
      <w:r w:rsidRPr="00F06B98">
        <w:t>refinansowania zadłużenia, w tym za spłatę pożyczek i kredytów zaciągniętych u innych podmiotów.</w:t>
      </w:r>
    </w:p>
    <w:p w:rsidR="00DB0FB1" w:rsidRPr="00F06B98" w:rsidRDefault="00DB0FB1" w:rsidP="00DB0FB1">
      <w:pPr>
        <w:spacing w:after="0"/>
        <w:ind w:left="720"/>
        <w:jc w:val="both"/>
      </w:pPr>
    </w:p>
    <w:p w:rsidR="00DB0FB1" w:rsidRDefault="00DB0FB1" w:rsidP="00DB0FB1">
      <w:pPr>
        <w:jc w:val="both"/>
      </w:pPr>
      <w:r w:rsidRPr="00F06B98">
        <w:t xml:space="preserve">Odbiorca może otrzymać maksymalnie jedną Jednostkową Pożyczkę w ramach Działania Działanie </w:t>
      </w:r>
      <w:r>
        <w:t xml:space="preserve"> </w:t>
      </w:r>
      <w:r w:rsidRPr="00F06B98">
        <w:t>8.3 Samozatrudnienie, przedsiębiorczość oraz tworzenie nowych miejsc pracy Regionalnego Programu Operacyjnego Województwa Dolnośląskiego na lata 2014-2020.</w:t>
      </w:r>
    </w:p>
    <w:p w:rsidR="00DB0FB1" w:rsidRPr="0085749F" w:rsidRDefault="00DB0FB1" w:rsidP="00DB0FB1">
      <w:pPr>
        <w:jc w:val="both"/>
        <w:rPr>
          <w:b/>
        </w:rPr>
      </w:pPr>
      <w:r w:rsidRPr="0085749F">
        <w:rPr>
          <w:b/>
        </w:rPr>
        <w:t>O pożyczkę mogą ubiegać się osoby, które: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nie znajdują się w trudnej sytuacji w rozumieniu pkt 20 Wytycznych dotyczących pomocy państwa na ratowanie i restrukturyzację przedsiębiorstw niefinansowych znajdujących się            w trudnej sytuacji (Dz. Urz. UE C 249/1 z 31.07.2014 r.),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nie ciąży na nich obowiązek zwrotu pomocy, wynikający z decyzji Komisji Europejskiej uznającej pomoc za niezgodną z prawem oraz ze wspólnym rynkiem lub orzeczenia sądu krajowego lub unijnego,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będą prowadzili działalność gospodarczą na terenie województwa dolnośląskiego,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 xml:space="preserve">nie będą wykluczeni, stosownie do Rozporządzenia Komisji (UE) nr 1407/2013 z dnia                      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(jeżeli przedsiębiorstwo ubiega się o pomoc de </w:t>
      </w:r>
      <w:proofErr w:type="spellStart"/>
      <w:r>
        <w:t>minimis</w:t>
      </w:r>
      <w:proofErr w:type="spellEnd"/>
      <w:r>
        <w:t>),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zobowiążą się do prowadzenia działalności gospodarczej przez okres co najmniej 12 miesięcy od dnia faktycznego rozpoczęcia działalności gospodarczej,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nie są i nie byli zarejestrowani w Krajowym Rejestrze Sądowym, Centralnej Ewidencji                        i Informacji o Działalności Gospodarczej lub prowadziły działalność na podstawie odrębnych przepisów (w tym m.in. działalność adwokacką, komorniczą lub oświatową) w okresie                   12 miesięcy poprzedzających dzień przystąpienia do projektu,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nie otrzymały środków finansowych na rozpoczęcie działalności gospodarczej z EFS w ciągu ostatnich 2 lat poprzedzających dzień przystąpienia do projektu,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nie podlegają wykluczeniu z możliwości dostępu do środków publicznych na podstawie przepisów prawa lub wykluczeniu takiemu nie podlegają osoby uprawnione</w:t>
      </w:r>
      <w:r w:rsidR="009F0A47">
        <w:t xml:space="preserve"> </w:t>
      </w:r>
      <w:bookmarkStart w:id="0" w:name="_GoBack"/>
      <w:bookmarkEnd w:id="0"/>
      <w:r>
        <w:t xml:space="preserve">do ich reprezentacji, </w:t>
      </w:r>
    </w:p>
    <w:p w:rsidR="00DB0FB1" w:rsidRDefault="00DB0FB1" w:rsidP="00DB0FB1">
      <w:pPr>
        <w:numPr>
          <w:ilvl w:val="0"/>
          <w:numId w:val="4"/>
        </w:numPr>
        <w:spacing w:after="0" w:line="259" w:lineRule="auto"/>
        <w:jc w:val="both"/>
      </w:pPr>
      <w:r>
        <w:t>nie są podmiotami, w stosunku do których Pośrednik Finansowy lub osoby upoważnione               do jego reprezentacji posiadają, tak bezpośrednio jak i pośrednio, jakiekolwiek powiązania,  w tym o charakterze majątkowym, kapitałowym, osobowym czy też faktycznym, które wpływają lub mogłyby potencjalnie wpływać na prawidłową realizację Operacji</w:t>
      </w:r>
    </w:p>
    <w:p w:rsidR="00DB0FB1" w:rsidRDefault="00DB0FB1" w:rsidP="00DB0FB1">
      <w:pPr>
        <w:spacing w:after="0"/>
        <w:jc w:val="both"/>
      </w:pPr>
    </w:p>
    <w:p w:rsidR="00DB0FB1" w:rsidRPr="0085749F" w:rsidRDefault="00DB0FB1" w:rsidP="00DB0FB1">
      <w:pPr>
        <w:jc w:val="both"/>
        <w:rPr>
          <w:b/>
        </w:rPr>
      </w:pPr>
      <w:r w:rsidRPr="0085749F">
        <w:rPr>
          <w:b/>
        </w:rPr>
        <w:t>Zabezpieczenie spłaty</w:t>
      </w:r>
    </w:p>
    <w:p w:rsidR="00DB0FB1" w:rsidRDefault="00DB0FB1" w:rsidP="00DB0FB1">
      <w:pPr>
        <w:jc w:val="both"/>
      </w:pPr>
      <w:r>
        <w:t>W przypadku udzielenia jednostkowej pożyczki możliwe jest zabezpieczenie w formie weksla własnego. FRW ma jednak prawo wymagać dodatkowego zabezpieczenia, w zależności od oceny ryzyka związanego z transakcją.</w:t>
      </w:r>
    </w:p>
    <w:p w:rsidR="00DB0FB1" w:rsidRDefault="00DB0FB1" w:rsidP="00DB0FB1">
      <w:pPr>
        <w:jc w:val="both"/>
      </w:pPr>
      <w:r>
        <w:lastRenderedPageBreak/>
        <w:t>W pozostałych przypadkach obligatoryjnie weksel in blanco z deklaracją wekslową oraz dodatkowo co najmniej jedna z form prawnego zabezpieczenia:</w:t>
      </w:r>
    </w:p>
    <w:p w:rsidR="00DB0FB1" w:rsidRDefault="00DB0FB1" w:rsidP="00DB0FB1">
      <w:pPr>
        <w:numPr>
          <w:ilvl w:val="0"/>
          <w:numId w:val="5"/>
        </w:numPr>
        <w:spacing w:after="0" w:line="259" w:lineRule="auto"/>
        <w:jc w:val="both"/>
      </w:pPr>
      <w:r>
        <w:t>poręczenie wekslowe osób trzecich,</w:t>
      </w:r>
    </w:p>
    <w:p w:rsidR="00DB0FB1" w:rsidRDefault="00DB0FB1" w:rsidP="00DB0FB1">
      <w:pPr>
        <w:numPr>
          <w:ilvl w:val="0"/>
          <w:numId w:val="5"/>
        </w:numPr>
        <w:spacing w:after="0" w:line="259" w:lineRule="auto"/>
        <w:jc w:val="both"/>
      </w:pPr>
      <w:r>
        <w:t>przewłaszczenie środków trwałych wraz z cesją praw z polisy ubezpieczenia,</w:t>
      </w:r>
    </w:p>
    <w:p w:rsidR="00DB0FB1" w:rsidRDefault="00DB0FB1" w:rsidP="00DB0FB1">
      <w:pPr>
        <w:numPr>
          <w:ilvl w:val="0"/>
          <w:numId w:val="5"/>
        </w:numPr>
        <w:spacing w:after="0" w:line="259" w:lineRule="auto"/>
        <w:jc w:val="both"/>
      </w:pPr>
      <w:r>
        <w:t>hipoteka na nieruchomości wraz z cesją praw z polisy ubezpieczenia,</w:t>
      </w:r>
    </w:p>
    <w:p w:rsidR="00DB0FB1" w:rsidRDefault="00DB0FB1" w:rsidP="00DB0FB1">
      <w:pPr>
        <w:numPr>
          <w:ilvl w:val="0"/>
          <w:numId w:val="5"/>
        </w:numPr>
        <w:spacing w:after="0" w:line="259" w:lineRule="auto"/>
        <w:jc w:val="both"/>
      </w:pPr>
      <w:r>
        <w:t>depozyt gwarancyjny, blokada lokaty bankowej bądź rejestru w funduszu inwestycyjnym,</w:t>
      </w:r>
    </w:p>
    <w:p w:rsidR="00DB0FB1" w:rsidRDefault="00DB0FB1" w:rsidP="00DB0FB1">
      <w:pPr>
        <w:numPr>
          <w:ilvl w:val="0"/>
          <w:numId w:val="5"/>
        </w:numPr>
        <w:spacing w:after="0" w:line="259" w:lineRule="auto"/>
        <w:jc w:val="both"/>
      </w:pPr>
      <w:r>
        <w:t>przelew wierzytelności z zawartych kontraktów,</w:t>
      </w:r>
    </w:p>
    <w:p w:rsidR="00DB0FB1" w:rsidRDefault="00DB0FB1" w:rsidP="00DB0FB1">
      <w:pPr>
        <w:numPr>
          <w:ilvl w:val="0"/>
          <w:numId w:val="5"/>
        </w:numPr>
        <w:spacing w:after="0" w:line="259" w:lineRule="auto"/>
        <w:jc w:val="both"/>
      </w:pPr>
      <w:r>
        <w:t>inne zaakceptowane przez FRW.</w:t>
      </w:r>
    </w:p>
    <w:p w:rsidR="00DB0FB1" w:rsidRDefault="00DB0FB1" w:rsidP="00DB0FB1">
      <w:pPr>
        <w:spacing w:after="0"/>
        <w:ind w:left="720"/>
        <w:jc w:val="both"/>
      </w:pPr>
    </w:p>
    <w:p w:rsidR="00DB0FB1" w:rsidRDefault="00DB0FB1" w:rsidP="00DB0FB1">
      <w:pPr>
        <w:jc w:val="both"/>
      </w:pPr>
      <w:r>
        <w:t>Rodzaje zabezpieczeń można łączyć.</w:t>
      </w:r>
    </w:p>
    <w:p w:rsidR="00DB0FB1" w:rsidRDefault="00DB0FB1" w:rsidP="00DB0FB1">
      <w:pPr>
        <w:jc w:val="both"/>
      </w:pPr>
      <w:r>
        <w:t>W przypadku poręczenia cywilnego lub wekslowego osoby fizycznej pozostającej w związku małżeńskim, w którym ustawowa wspólność małżeńska nie została ograniczona ani wyłączona, wymagane jest poręczenie obojga małżonków.</w:t>
      </w:r>
    </w:p>
    <w:p w:rsidR="00DB0FB1" w:rsidRDefault="00DB0FB1" w:rsidP="00DB0FB1">
      <w:pPr>
        <w:jc w:val="both"/>
      </w:pPr>
      <w:r>
        <w:t>Ostateczna forma zabezpieczenia uzależniona jest od akceptacji FRW.</w:t>
      </w:r>
    </w:p>
    <w:p w:rsidR="00DB0FB1" w:rsidRDefault="00DB0FB1" w:rsidP="00DB0FB1">
      <w:pPr>
        <w:jc w:val="both"/>
      </w:pPr>
      <w:r>
        <w:t xml:space="preserve">Wsparcie w ramach programu stanowi pomoc de </w:t>
      </w:r>
      <w:proofErr w:type="spellStart"/>
      <w:r>
        <w:t>minimis</w:t>
      </w:r>
      <w:proofErr w:type="spellEnd"/>
      <w:r>
        <w:t>.</w:t>
      </w:r>
    </w:p>
    <w:p w:rsidR="00685C4E" w:rsidRDefault="00685C4E"/>
    <w:sectPr w:rsidR="00685C4E" w:rsidSect="00046BBE">
      <w:headerReference w:type="even" r:id="rId7"/>
      <w:headerReference w:type="default" r:id="rId8"/>
      <w:headerReference w:type="firs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2C" w:rsidRDefault="008F362C" w:rsidP="00046BBE">
      <w:pPr>
        <w:spacing w:after="0" w:line="240" w:lineRule="auto"/>
      </w:pPr>
      <w:r>
        <w:separator/>
      </w:r>
    </w:p>
  </w:endnote>
  <w:endnote w:type="continuationSeparator" w:id="0">
    <w:p w:rsidR="008F362C" w:rsidRDefault="008F362C" w:rsidP="0004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2C" w:rsidRDefault="008F362C" w:rsidP="00046BBE">
      <w:pPr>
        <w:spacing w:after="0" w:line="240" w:lineRule="auto"/>
      </w:pPr>
      <w:r>
        <w:separator/>
      </w:r>
    </w:p>
  </w:footnote>
  <w:footnote w:type="continuationSeparator" w:id="0">
    <w:p w:rsidR="008F362C" w:rsidRDefault="008F362C" w:rsidP="0004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BE" w:rsidRDefault="008F36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7871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frw_mikropozyczka_pismo_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BE" w:rsidRDefault="008F36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7872" o:spid="_x0000_s2054" type="#_x0000_t75" style="position:absolute;margin-left:-70.8pt;margin-top:-73.85pt;width:595.2pt;height:841.7pt;z-index:-251656192;mso-position-horizontal-relative:margin;mso-position-vertical-relative:margin" o:allowincell="f">
          <v:imagedata r:id="rId1" o:title="frw_mikropozyczka_pismo_k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BE" w:rsidRDefault="008F36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7870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frw_mikropozyczka_pismo_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14D4"/>
    <w:multiLevelType w:val="hybridMultilevel"/>
    <w:tmpl w:val="9326B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2D4A"/>
    <w:multiLevelType w:val="hybridMultilevel"/>
    <w:tmpl w:val="37588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6D3"/>
    <w:multiLevelType w:val="hybridMultilevel"/>
    <w:tmpl w:val="9AB6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7948"/>
    <w:multiLevelType w:val="hybridMultilevel"/>
    <w:tmpl w:val="8062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0855"/>
    <w:multiLevelType w:val="hybridMultilevel"/>
    <w:tmpl w:val="B77CB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BE"/>
    <w:rsid w:val="00046BBE"/>
    <w:rsid w:val="001014E8"/>
    <w:rsid w:val="002D3568"/>
    <w:rsid w:val="005D4F56"/>
    <w:rsid w:val="00685C4E"/>
    <w:rsid w:val="00875149"/>
    <w:rsid w:val="008F362C"/>
    <w:rsid w:val="009F0A47"/>
    <w:rsid w:val="00D14EED"/>
    <w:rsid w:val="00D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08194B6-D5EA-4A36-9BEC-3C8F98BA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BBE"/>
  </w:style>
  <w:style w:type="paragraph" w:styleId="Stopka">
    <w:name w:val="footer"/>
    <w:basedOn w:val="Normalny"/>
    <w:link w:val="StopkaZnak"/>
    <w:uiPriority w:val="99"/>
    <w:semiHidden/>
    <w:unhideWhenUsed/>
    <w:rsid w:val="0004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BBE"/>
  </w:style>
  <w:style w:type="character" w:styleId="Hipercze">
    <w:name w:val="Hyperlink"/>
    <w:basedOn w:val="Domylnaczcionkaakapitu"/>
    <w:uiPriority w:val="99"/>
    <w:unhideWhenUsed/>
    <w:rsid w:val="002D3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KAWKA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Kawka</dc:creator>
  <cp:lastModifiedBy>Agnieszka Matysiak</cp:lastModifiedBy>
  <cp:revision>3</cp:revision>
  <dcterms:created xsi:type="dcterms:W3CDTF">2018-05-29T09:40:00Z</dcterms:created>
  <dcterms:modified xsi:type="dcterms:W3CDTF">2018-05-29T09:40:00Z</dcterms:modified>
</cp:coreProperties>
</file>